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965A4">
      <w:pPr>
        <w:rPr>
          <w:rFonts w:ascii="黑体" w:hAnsi="黑体" w:eastAsia="黑体" w:cs="仿宋_GB2312"/>
          <w:color w:val="auto"/>
          <w:sz w:val="32"/>
          <w:szCs w:val="32"/>
        </w:rPr>
      </w:pPr>
      <w:r>
        <w:rPr>
          <w:rFonts w:hint="eastAsia" w:ascii="黑体" w:hAnsi="黑体" w:eastAsia="黑体" w:cs="仿宋_GB2312"/>
          <w:color w:val="auto"/>
          <w:sz w:val="32"/>
          <w:szCs w:val="32"/>
        </w:rPr>
        <w:t>附件1</w:t>
      </w:r>
    </w:p>
    <w:p w14:paraId="3C7D9A9E">
      <w:pPr>
        <w:rPr>
          <w:rFonts w:ascii="黑体" w:hAnsi="黑体" w:eastAsia="黑体" w:cs="仿宋_GB2312"/>
          <w:color w:val="auto"/>
          <w:sz w:val="32"/>
          <w:szCs w:val="32"/>
        </w:rPr>
      </w:pPr>
    </w:p>
    <w:p w14:paraId="580506BC">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2025年亚洲食品博览会介绍</w:t>
      </w:r>
    </w:p>
    <w:p w14:paraId="15760FFF">
      <w:pPr>
        <w:jc w:val="center"/>
        <w:rPr>
          <w:rFonts w:ascii="华文中宋" w:hAnsi="华文中宋" w:eastAsia="华文中宋" w:cs="黑体"/>
          <w:b/>
          <w:bCs/>
          <w:color w:val="auto"/>
          <w:sz w:val="44"/>
          <w:szCs w:val="44"/>
        </w:rPr>
      </w:pPr>
    </w:p>
    <w:p w14:paraId="447E0A6C">
      <w:pPr>
        <w:numPr>
          <w:ilvl w:val="0"/>
          <w:numId w:val="0"/>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一、展会简介</w:t>
      </w:r>
    </w:p>
    <w:p w14:paraId="1B6BB380">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泰国亚洲食品</w:t>
      </w:r>
      <w:r>
        <w:rPr>
          <w:rFonts w:hint="eastAsia" w:ascii="仿宋_GB2312" w:hAnsi="仿宋_GB2312" w:eastAsia="仿宋_GB2312" w:cs="仿宋_GB2312"/>
          <w:color w:val="auto"/>
          <w:sz w:val="32"/>
          <w:szCs w:val="32"/>
          <w:lang w:val="en-US" w:eastAsia="zh-CN"/>
        </w:rPr>
        <w:t>博览</w:t>
      </w:r>
      <w:r>
        <w:rPr>
          <w:rFonts w:hint="eastAsia" w:ascii="仿宋_GB2312" w:hAnsi="仿宋_GB2312" w:eastAsia="仿宋_GB2312" w:cs="仿宋_GB2312"/>
          <w:color w:val="auto"/>
          <w:sz w:val="32"/>
          <w:szCs w:val="32"/>
        </w:rPr>
        <w:t>会THAIFEX是由世界食品与食品技术展览会的领头羊科隆展览与泰国商会联合举办的东南亚地区</w:t>
      </w:r>
      <w:r>
        <w:rPr>
          <w:rFonts w:hint="eastAsia" w:ascii="仿宋_GB2312" w:hAnsi="仿宋_GB2312" w:eastAsia="仿宋_GB2312" w:cs="仿宋_GB2312"/>
          <w:color w:val="auto"/>
          <w:sz w:val="32"/>
          <w:szCs w:val="32"/>
          <w:lang w:val="en-US" w:eastAsia="zh-CN"/>
        </w:rPr>
        <w:t>最</w:t>
      </w:r>
      <w:r>
        <w:rPr>
          <w:rFonts w:hint="eastAsia" w:ascii="仿宋_GB2312" w:hAnsi="仿宋_GB2312" w:eastAsia="仿宋_GB2312" w:cs="仿宋_GB2312"/>
          <w:color w:val="auto"/>
          <w:sz w:val="32"/>
          <w:szCs w:val="32"/>
        </w:rPr>
        <w:t>大、亚</w:t>
      </w:r>
      <w:r>
        <w:rPr>
          <w:rFonts w:hint="eastAsia" w:ascii="仿宋_GB2312" w:hAnsi="仿宋_GB2312" w:eastAsia="仿宋_GB2312" w:cs="仿宋_GB2312"/>
          <w:color w:val="auto"/>
          <w:sz w:val="32"/>
          <w:szCs w:val="32"/>
          <w:lang w:eastAsia="zh-CN"/>
        </w:rPr>
        <w:t>洲</w:t>
      </w:r>
      <w:r>
        <w:rPr>
          <w:rFonts w:hint="eastAsia" w:ascii="仿宋_GB2312" w:hAnsi="仿宋_GB2312" w:eastAsia="仿宋_GB2312" w:cs="仿宋_GB2312"/>
          <w:color w:val="auto"/>
          <w:sz w:val="32"/>
          <w:szCs w:val="32"/>
          <w:lang w:val="en-US" w:eastAsia="zh-CN"/>
        </w:rPr>
        <w:t>最</w:t>
      </w:r>
      <w:r>
        <w:rPr>
          <w:rFonts w:hint="eastAsia" w:ascii="仿宋_GB2312" w:hAnsi="仿宋_GB2312" w:eastAsia="仿宋_GB2312" w:cs="仿宋_GB2312"/>
          <w:color w:val="auto"/>
          <w:sz w:val="32"/>
          <w:szCs w:val="32"/>
        </w:rPr>
        <w:t>具影响力的食品饮料展会。2004年起，至今已成功举办20届。2024年泰国展观众数量超出了所有人的预期，来自133个国家的超过85850名专业观众前来参观，2000家参展企业参展。</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观众</w:t>
      </w:r>
      <w:r>
        <w:rPr>
          <w:rFonts w:hint="eastAsia" w:ascii="仿宋_GB2312" w:hAnsi="仿宋_GB2312" w:eastAsia="仿宋_GB2312" w:cs="仿宋_GB2312"/>
          <w:color w:val="auto"/>
          <w:sz w:val="32"/>
          <w:szCs w:val="32"/>
          <w:lang w:val="en-US" w:eastAsia="zh-CN"/>
        </w:rPr>
        <w:t>普遍</w:t>
      </w:r>
      <w:r>
        <w:rPr>
          <w:rFonts w:hint="eastAsia" w:ascii="仿宋_GB2312" w:hAnsi="仿宋_GB2312" w:eastAsia="仿宋_GB2312" w:cs="仿宋_GB2312"/>
          <w:color w:val="auto"/>
          <w:sz w:val="32"/>
          <w:szCs w:val="32"/>
        </w:rPr>
        <w:t>来自泰国</w:t>
      </w:r>
      <w:r>
        <w:rPr>
          <w:rFonts w:hint="eastAsia" w:ascii="仿宋_GB2312" w:hAnsi="仿宋_GB2312" w:eastAsia="仿宋_GB2312" w:cs="仿宋_GB2312"/>
          <w:color w:val="auto"/>
          <w:sz w:val="32"/>
          <w:szCs w:val="32"/>
          <w:lang w:val="en-US" w:eastAsia="zh-CN"/>
        </w:rPr>
        <w:t>及周边国家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包括中国、</w:t>
      </w:r>
      <w:r>
        <w:rPr>
          <w:rFonts w:hint="eastAsia" w:ascii="仿宋_GB2312" w:hAnsi="仿宋_GB2312" w:eastAsia="仿宋_GB2312" w:cs="仿宋_GB2312"/>
          <w:color w:val="auto"/>
          <w:sz w:val="32"/>
          <w:szCs w:val="32"/>
          <w:lang w:eastAsia="zh-CN"/>
        </w:rPr>
        <w:t>马来西亚</w:t>
      </w:r>
      <w:r>
        <w:rPr>
          <w:rFonts w:hint="eastAsia" w:ascii="仿宋_GB2312" w:hAnsi="仿宋_GB2312" w:eastAsia="仿宋_GB2312" w:cs="仿宋_GB2312"/>
          <w:color w:val="auto"/>
          <w:sz w:val="32"/>
          <w:szCs w:val="32"/>
        </w:rPr>
        <w:t>、新加坡、菲律宾、日本和越南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还有部分</w:t>
      </w:r>
      <w:r>
        <w:rPr>
          <w:rFonts w:hint="eastAsia" w:ascii="仿宋_GB2312" w:hAnsi="仿宋_GB2312" w:eastAsia="仿宋_GB2312" w:cs="仿宋_GB2312"/>
          <w:color w:val="auto"/>
          <w:sz w:val="32"/>
          <w:szCs w:val="32"/>
          <w:lang w:val="en-US" w:eastAsia="zh-CN"/>
        </w:rPr>
        <w:t>专业</w:t>
      </w:r>
      <w:r>
        <w:rPr>
          <w:rFonts w:hint="eastAsia" w:ascii="仿宋_GB2312" w:hAnsi="仿宋_GB2312" w:eastAsia="仿宋_GB2312" w:cs="仿宋_GB2312"/>
          <w:color w:val="auto"/>
          <w:sz w:val="32"/>
          <w:szCs w:val="32"/>
        </w:rPr>
        <w:t>观众来自澳大利亚、印度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南美、北美、中东欧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中东。把全球全面的食品、饮料、食品服务和食品技术产品汇集到东南亚，辐射周边国</w:t>
      </w:r>
      <w:r>
        <w:rPr>
          <w:rFonts w:hint="eastAsia" w:ascii="仿宋_GB2312" w:hAnsi="仿宋_GB2312" w:eastAsia="仿宋_GB2312" w:cs="仿宋_GB2312"/>
          <w:color w:val="auto"/>
          <w:sz w:val="32"/>
          <w:szCs w:val="32"/>
          <w:lang w:eastAsia="zh-CN"/>
        </w:rPr>
        <w:t>家和</w:t>
      </w:r>
      <w:r>
        <w:rPr>
          <w:rFonts w:hint="eastAsia" w:ascii="仿宋_GB2312" w:hAnsi="仿宋_GB2312" w:eastAsia="仿宋_GB2312" w:cs="仿宋_GB2312"/>
          <w:color w:val="auto"/>
          <w:sz w:val="32"/>
          <w:szCs w:val="32"/>
        </w:rPr>
        <w:t>地区。</w:t>
      </w:r>
    </w:p>
    <w:p w14:paraId="2CC2BD75">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THAIFEX-Anuga Asia的目标领域是食品和饮料、食品服务、食品技术、零售和特许经营行业。泰国亚洲食品展览会THAIFEX参展范围广泛、结构清晰，凭借11个贸易展览、11个趋势主题、涵盖整个行业价值链的特别展览和支持计划，以及Anuga对新兴创新的关注，该展对于贸易买家来说是一个理想的采购和信息交流平台。展会届时将涵盖11种趋势主题：替代肉类蛋白质、清洁标签、特别经营权、功能性和自由产品、清真食品、有机产品、植物蛋白或食物、私人标签、即食产品、可持续生产</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包装等。</w:t>
      </w:r>
    </w:p>
    <w:p w14:paraId="68B87F91">
      <w:pPr>
        <w:numPr>
          <w:ilvl w:val="0"/>
          <w:numId w:val="1"/>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展会时间</w:t>
      </w:r>
    </w:p>
    <w:p w14:paraId="4E4D8F11">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2025年5月27日—31日</w:t>
      </w:r>
    </w:p>
    <w:p w14:paraId="69DD8402">
      <w:pPr>
        <w:numPr>
          <w:ilvl w:val="0"/>
          <w:numId w:val="1"/>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展会周期</w:t>
      </w:r>
      <w:bookmarkStart w:id="0" w:name="_GoBack"/>
      <w:bookmarkEnd w:id="0"/>
    </w:p>
    <w:p w14:paraId="0703EC38">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一年一届</w:t>
      </w:r>
    </w:p>
    <w:p w14:paraId="0B4F73A2">
      <w:pPr>
        <w:numPr>
          <w:ilvl w:val="0"/>
          <w:numId w:val="1"/>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展会地点</w:t>
      </w:r>
    </w:p>
    <w:p w14:paraId="2A90EEA4">
      <w:pPr>
        <w:numPr>
          <w:ilvl w:val="0"/>
          <w:numId w:val="0"/>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泰国曼谷</w:t>
      </w:r>
    </w:p>
    <w:p w14:paraId="41204D01">
      <w:pPr>
        <w:numPr>
          <w:ilvl w:val="0"/>
          <w:numId w:val="1"/>
        </w:num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展品范围</w:t>
      </w:r>
    </w:p>
    <w:p w14:paraId="604571A0">
      <w:pPr>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食品饮料类：</w:t>
      </w:r>
      <w:r>
        <w:rPr>
          <w:rFonts w:hint="eastAsia" w:ascii="仿宋_GB2312" w:hAnsi="仿宋_GB2312" w:eastAsia="仿宋_GB2312" w:cs="仿宋_GB2312"/>
          <w:color w:val="auto"/>
          <w:sz w:val="32"/>
          <w:szCs w:val="32"/>
        </w:rPr>
        <w:t>主食、调味品、休闲食品、肉类、香肠、禽类新鲜方便食品、新鲜熟食、鱼、果蔬、冷冻食品和冷冻乳制品、饮料（酒精与非酒精）、食品及饮料技术 、乳制品、热饮、面包、烘焙食品、有机产品、健康功能性产品和无敏产品。</w:t>
      </w:r>
    </w:p>
    <w:p w14:paraId="755F8441">
      <w:pPr>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食品技术：</w:t>
      </w:r>
      <w:r>
        <w:rPr>
          <w:rFonts w:hint="eastAsia" w:ascii="仿宋_GB2312" w:hAnsi="仿宋_GB2312" w:eastAsia="仿宋_GB2312" w:cs="仿宋_GB2312"/>
          <w:color w:val="auto"/>
          <w:sz w:val="32"/>
          <w:szCs w:val="32"/>
        </w:rPr>
        <w:t>公共食品技术、技术设备、仪器、通信、信息系统、服务、食品和</w:t>
      </w:r>
      <w:r>
        <w:rPr>
          <w:rFonts w:hint="eastAsia" w:ascii="仿宋_GB2312" w:hAnsi="仿宋_GB2312" w:eastAsia="仿宋_GB2312" w:cs="仿宋_GB2312"/>
          <w:color w:val="auto"/>
          <w:sz w:val="32"/>
          <w:szCs w:val="32"/>
          <w:lang w:eastAsia="zh-CN"/>
        </w:rPr>
        <w:t>药品</w:t>
      </w:r>
      <w:r>
        <w:rPr>
          <w:rFonts w:hint="eastAsia" w:ascii="仿宋_GB2312" w:hAnsi="仿宋_GB2312" w:eastAsia="仿宋_GB2312" w:cs="仿宋_GB2312"/>
          <w:color w:val="auto"/>
          <w:sz w:val="32"/>
          <w:szCs w:val="32"/>
        </w:rPr>
        <w:t>、环保、酒店设备、室内设计、安全系统、卫生服务、酒店顾问。</w:t>
      </w:r>
    </w:p>
    <w:p w14:paraId="07234DE3">
      <w:pPr>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加工技术：</w:t>
      </w:r>
      <w:r>
        <w:rPr>
          <w:rFonts w:hint="eastAsia" w:ascii="仿宋_GB2312" w:hAnsi="仿宋_GB2312" w:eastAsia="仿宋_GB2312" w:cs="仿宋_GB2312"/>
          <w:color w:val="auto"/>
          <w:sz w:val="32"/>
          <w:szCs w:val="32"/>
        </w:rPr>
        <w:t>食品机械、冷冻技术、包装技术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零售技术、商店技术、产品展示等。</w:t>
      </w:r>
    </w:p>
    <w:p w14:paraId="1D288190">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59CEC"/>
    <w:multiLevelType w:val="singleLevel"/>
    <w:tmpl w:val="C8D59C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10831"/>
    <w:rsid w:val="060D2627"/>
    <w:rsid w:val="11A10831"/>
    <w:rsid w:val="23EC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2025-02-17T12:10:00Z</dcterms:created>
  <dc:creator>张墨馨</dc:creator>
  <cp:lastModifiedBy>张墨馨</cp:lastModifiedBy>
  <dcterms:modified xsi:type="dcterms:W3CDTF">2025-02-17T12:11:02Z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83897F59B1744CBDBF0046EB443B0784_13</vt:lpwstr>
  </property>
  <property fmtid="{D5CDD505-2E9C-101B-9397-08002B2CF9AE}" pid="4" name="KSOTemplateDocerSaveRecord">
    <vt:lpwstr>eyJoZGlkIjoiYjQyYmM1MmEwZDAxMzg1MzE2ZTgxMDYwYTViYjUwOGQiLCJ1c2VySWQiOiIyNTA2MzUyMzkifQ==</vt:lpwstr>
  </property>
</Properties>
</file>